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3B8C" w14:textId="77777777" w:rsidR="0025608D" w:rsidRPr="0025608D" w:rsidRDefault="0025608D" w:rsidP="0025608D">
      <w:pPr>
        <w:rPr>
          <w:rFonts w:ascii="Tahoma" w:hAnsi="Tahoma" w:cs="Tahoma"/>
          <w:b/>
          <w:bCs/>
          <w:color w:val="4472C4" w:themeColor="accent1"/>
          <w:lang w:val="sr-Latn-ME"/>
        </w:rPr>
      </w:pPr>
      <w:r w:rsidRPr="0025608D">
        <w:rPr>
          <w:rFonts w:ascii="Tahoma" w:hAnsi="Tahoma" w:cs="Tahoma"/>
          <w:b/>
          <w:bCs/>
          <w:color w:val="4472C4" w:themeColor="accent1"/>
          <w:lang w:val="sr-Latn-ME"/>
        </w:rPr>
        <w:t>PRILOG 4 – Metodologija rangiranja prijava prihvatljivih za subvencionisanje</w:t>
      </w:r>
    </w:p>
    <w:p w14:paraId="72362C05" w14:textId="61F31A2B" w:rsidR="0025608D" w:rsidRPr="0025608D" w:rsidRDefault="0025608D" w:rsidP="0025608D">
      <w:pPr>
        <w:jc w:val="both"/>
        <w:rPr>
          <w:rFonts w:ascii="Tahoma" w:hAnsi="Tahoma" w:cs="Tahoma"/>
          <w:lang w:val="sr-Latn-ME"/>
        </w:rPr>
      </w:pPr>
      <w:r w:rsidRPr="0025608D">
        <w:rPr>
          <w:rFonts w:ascii="Tahoma" w:hAnsi="Tahoma" w:cs="Tahoma"/>
          <w:lang w:val="sr-Latn-ME"/>
        </w:rPr>
        <w:t>Nakon završetka procesa ocjenjivanja opštih i tehničkih kriterijuma, Komisija pristupa rangiranju projekata prihvatljivih za sufinansiranje kroz Model na bazi liste prijava koje zadovoljavaju opšte i tehničke kriterijume, a u skladu s definisanim kriterijumima i mjerilima Javnog poziva.</w:t>
      </w:r>
    </w:p>
    <w:p w14:paraId="2343A491" w14:textId="77777777" w:rsidR="0025608D" w:rsidRPr="0025608D" w:rsidRDefault="0025608D" w:rsidP="0025608D">
      <w:pPr>
        <w:jc w:val="both"/>
        <w:rPr>
          <w:rFonts w:ascii="Tahoma" w:hAnsi="Tahoma" w:cs="Tahoma"/>
          <w:lang w:val="sr-Latn-ME"/>
        </w:rPr>
      </w:pPr>
      <w:r w:rsidRPr="0025608D">
        <w:rPr>
          <w:rFonts w:ascii="Tahoma" w:hAnsi="Tahoma" w:cs="Tahoma"/>
          <w:lang w:val="sr-Latn-ME"/>
        </w:rPr>
        <w:t>Rangiranje se vrši po bodovnom sistemu koji obuhvata evaluaciju po osnovu sljedećih kriterijuma:</w:t>
      </w:r>
    </w:p>
    <w:p w14:paraId="750D261D" w14:textId="77777777" w:rsidR="0025608D" w:rsidRPr="0025608D" w:rsidRDefault="0025608D" w:rsidP="0025608D">
      <w:pPr>
        <w:pStyle w:val="ListParagraph"/>
        <w:numPr>
          <w:ilvl w:val="0"/>
          <w:numId w:val="3"/>
        </w:numPr>
        <w:jc w:val="both"/>
        <w:rPr>
          <w:rFonts w:ascii="Tahoma" w:hAnsi="Tahoma" w:cs="Tahoma"/>
          <w:lang w:val="sr-Latn-ME"/>
        </w:rPr>
      </w:pPr>
      <w:r w:rsidRPr="0025608D">
        <w:rPr>
          <w:rFonts w:ascii="Tahoma" w:hAnsi="Tahoma" w:cs="Tahoma"/>
          <w:lang w:val="sr-Latn-ME"/>
        </w:rPr>
        <w:t>omjer sufinansiranja ugradnje solarnog sistema od strane korisnika/aplikanta – veći procenat sufinansiranja donosi više bodova;</w:t>
      </w:r>
    </w:p>
    <w:p w14:paraId="147C25C4" w14:textId="77777777" w:rsidR="0025608D" w:rsidRPr="0025608D" w:rsidRDefault="0025608D" w:rsidP="0025608D">
      <w:pPr>
        <w:pStyle w:val="ListParagraph"/>
        <w:numPr>
          <w:ilvl w:val="0"/>
          <w:numId w:val="3"/>
        </w:numPr>
        <w:jc w:val="both"/>
        <w:rPr>
          <w:rFonts w:ascii="Tahoma" w:hAnsi="Tahoma" w:cs="Tahoma"/>
          <w:lang w:val="sr-Latn-ME"/>
        </w:rPr>
      </w:pPr>
      <w:r w:rsidRPr="0025608D">
        <w:rPr>
          <w:rFonts w:ascii="Tahoma" w:hAnsi="Tahoma" w:cs="Tahoma"/>
          <w:lang w:val="sr-Latn-ME"/>
        </w:rPr>
        <w:t>korištenje stambenog prostora (broj korisnika po m</w:t>
      </w:r>
      <w:r w:rsidRPr="005B7BD0">
        <w:rPr>
          <w:rFonts w:ascii="Tahoma" w:hAnsi="Tahoma" w:cs="Tahoma"/>
          <w:vertAlign w:val="superscript"/>
          <w:lang w:val="sr-Latn-ME"/>
        </w:rPr>
        <w:t>2</w:t>
      </w:r>
      <w:r w:rsidRPr="0025608D">
        <w:rPr>
          <w:rFonts w:ascii="Tahoma" w:hAnsi="Tahoma" w:cs="Tahoma"/>
          <w:lang w:val="sr-Latn-ME"/>
        </w:rPr>
        <w:t xml:space="preserve"> stambenog prostora) – manji broj m</w:t>
      </w:r>
      <w:r w:rsidRPr="005B7BD0">
        <w:rPr>
          <w:rFonts w:ascii="Tahoma" w:hAnsi="Tahoma" w:cs="Tahoma"/>
          <w:vertAlign w:val="superscript"/>
          <w:lang w:val="sr-Latn-ME"/>
        </w:rPr>
        <w:t>2</w:t>
      </w:r>
      <w:r w:rsidRPr="0025608D">
        <w:rPr>
          <w:rFonts w:ascii="Tahoma" w:hAnsi="Tahoma" w:cs="Tahoma"/>
          <w:lang w:val="sr-Latn-ME"/>
        </w:rPr>
        <w:t xml:space="preserve"> po korisniku donosi više bodova; </w:t>
      </w:r>
    </w:p>
    <w:p w14:paraId="79C19429" w14:textId="77777777" w:rsidR="0025608D" w:rsidRPr="0025608D" w:rsidRDefault="0025608D" w:rsidP="0025608D">
      <w:pPr>
        <w:pStyle w:val="ListParagraph"/>
        <w:numPr>
          <w:ilvl w:val="0"/>
          <w:numId w:val="3"/>
        </w:numPr>
        <w:jc w:val="both"/>
        <w:rPr>
          <w:rFonts w:ascii="Tahoma" w:hAnsi="Tahoma" w:cs="Tahoma"/>
          <w:lang w:val="sr-Latn-ME"/>
        </w:rPr>
      </w:pPr>
      <w:r w:rsidRPr="0025608D">
        <w:rPr>
          <w:rFonts w:ascii="Tahoma" w:hAnsi="Tahoma" w:cs="Tahoma"/>
          <w:lang w:val="sr-Latn-ME"/>
        </w:rPr>
        <w:t>godišnja potrošnja električne energije u periodu od prethodnih 12 mjeseci, izražena u kWh – veća potrošnja donosi više bodova;</w:t>
      </w:r>
    </w:p>
    <w:p w14:paraId="125DDF6F" w14:textId="77777777" w:rsidR="0025608D" w:rsidRPr="0025608D" w:rsidRDefault="0025608D" w:rsidP="0025608D">
      <w:pPr>
        <w:pStyle w:val="ListParagraph"/>
        <w:numPr>
          <w:ilvl w:val="0"/>
          <w:numId w:val="3"/>
        </w:numPr>
        <w:jc w:val="both"/>
        <w:rPr>
          <w:rFonts w:ascii="Tahoma" w:hAnsi="Tahoma" w:cs="Tahoma"/>
          <w:lang w:val="sr-Latn-ME"/>
        </w:rPr>
      </w:pPr>
      <w:r w:rsidRPr="0025608D">
        <w:rPr>
          <w:rFonts w:ascii="Tahoma" w:hAnsi="Tahoma" w:cs="Tahoma"/>
          <w:lang w:val="sr-Latn-ME"/>
        </w:rPr>
        <w:t>korištenje toplotne pumpe za grijanje i/ili hlađenje objekta koji je predmet prijave – veći broj bodova;</w:t>
      </w:r>
    </w:p>
    <w:p w14:paraId="36516696" w14:textId="77777777" w:rsidR="0025608D" w:rsidRPr="0025608D" w:rsidRDefault="0025608D" w:rsidP="0025608D">
      <w:pPr>
        <w:pStyle w:val="ListParagraph"/>
        <w:numPr>
          <w:ilvl w:val="0"/>
          <w:numId w:val="3"/>
        </w:numPr>
        <w:jc w:val="both"/>
        <w:rPr>
          <w:rFonts w:ascii="Tahoma" w:hAnsi="Tahoma" w:cs="Tahoma"/>
          <w:lang w:val="sr-Latn-ME"/>
        </w:rPr>
      </w:pPr>
      <w:r w:rsidRPr="0025608D">
        <w:rPr>
          <w:rFonts w:ascii="Tahoma" w:hAnsi="Tahoma" w:cs="Tahoma"/>
          <w:lang w:val="sr-Latn-ME"/>
        </w:rPr>
        <w:t>žena vlasnica objekta koji je predmet prijave – veći broj bodova;</w:t>
      </w:r>
    </w:p>
    <w:p w14:paraId="0ED1BAB7" w14:textId="258024B6" w:rsidR="0025608D" w:rsidRPr="0025608D" w:rsidRDefault="0025608D" w:rsidP="0025608D">
      <w:pPr>
        <w:pStyle w:val="ListParagraph"/>
        <w:numPr>
          <w:ilvl w:val="0"/>
          <w:numId w:val="3"/>
        </w:numPr>
        <w:jc w:val="both"/>
        <w:rPr>
          <w:rFonts w:ascii="Tahoma" w:hAnsi="Tahoma" w:cs="Tahoma"/>
          <w:lang w:val="sr-Latn-ME"/>
        </w:rPr>
      </w:pPr>
      <w:r w:rsidRPr="0025608D">
        <w:rPr>
          <w:rFonts w:ascii="Tahoma" w:hAnsi="Tahoma" w:cs="Tahoma"/>
          <w:lang w:val="sr-Latn-ME"/>
        </w:rPr>
        <w:t>broj osoba mlađih od 35 godina u kućnoj zajednici – veći broj bodova bodova za kućne zajednice sa osobama mlađim od 35 godina;</w:t>
      </w:r>
    </w:p>
    <w:p w14:paraId="1EF4C4FE" w14:textId="77777777" w:rsidR="0025608D" w:rsidRPr="0025608D" w:rsidRDefault="0025608D" w:rsidP="0025608D">
      <w:pPr>
        <w:jc w:val="both"/>
        <w:rPr>
          <w:rFonts w:ascii="Tahoma" w:hAnsi="Tahoma" w:cs="Tahoma"/>
          <w:lang w:val="sr-Latn-ME"/>
        </w:rPr>
      </w:pPr>
      <w:r w:rsidRPr="0025608D">
        <w:rPr>
          <w:rFonts w:ascii="Tahoma" w:hAnsi="Tahoma" w:cs="Tahoma"/>
          <w:lang w:val="sr-Latn-ME"/>
        </w:rPr>
        <w:t xml:space="preserve">Rangiranje se vrši do mogućnosti ispunjenja praga ukupno raspoloživog budžeta za sufinansiranje za dati Javni poziv, odnosno u okviru raspoloživog budžeta od strane Grada/UNDP-a. Ukupan broj bodova je 100. </w:t>
      </w:r>
    </w:p>
    <w:p w14:paraId="0AA2B0E4" w14:textId="394B8844" w:rsidR="0025608D" w:rsidRPr="0025608D" w:rsidRDefault="0025608D" w:rsidP="0025608D">
      <w:pPr>
        <w:jc w:val="both"/>
        <w:rPr>
          <w:rFonts w:ascii="Tahoma" w:hAnsi="Tahoma" w:cs="Tahoma"/>
          <w:lang w:val="sr-Latn-ME"/>
        </w:rPr>
      </w:pPr>
      <w:r w:rsidRPr="0025608D">
        <w:rPr>
          <w:rFonts w:ascii="Tahoma" w:hAnsi="Tahoma" w:cs="Tahoma"/>
          <w:lang w:val="sr-Latn-ME"/>
        </w:rPr>
        <w:t xml:space="preserve">Kriterijumi za rangiranje projekata prihvatljivih za sufinansiranje kroz Model dati su u nastavku u formi tabele za ocjenjivanje, a koju svaki član Komisije popunjava individualno za svaki predloženi projekat: </w:t>
      </w:r>
    </w:p>
    <w:tbl>
      <w:tblPr>
        <w:tblStyle w:val="TableGrid"/>
        <w:tblW w:w="9350" w:type="dxa"/>
        <w:jc w:val="center"/>
        <w:tblLook w:val="04A0" w:firstRow="1" w:lastRow="0" w:firstColumn="1" w:lastColumn="0" w:noHBand="0" w:noVBand="1"/>
      </w:tblPr>
      <w:tblGrid>
        <w:gridCol w:w="531"/>
        <w:gridCol w:w="2030"/>
        <w:gridCol w:w="2204"/>
        <w:gridCol w:w="4585"/>
      </w:tblGrid>
      <w:tr w:rsidR="0025608D" w:rsidRPr="0025608D" w14:paraId="116E6828" w14:textId="77777777" w:rsidTr="0025608D">
        <w:trPr>
          <w:trHeight w:val="227"/>
          <w:tblHeader/>
          <w:jc w:val="center"/>
        </w:trPr>
        <w:tc>
          <w:tcPr>
            <w:tcW w:w="531" w:type="dxa"/>
            <w:shd w:val="clear" w:color="auto" w:fill="4472C4" w:themeFill="accent1"/>
            <w:noWrap/>
            <w:vAlign w:val="center"/>
            <w:hideMark/>
          </w:tcPr>
          <w:p w14:paraId="1E68DA72" w14:textId="77777777" w:rsidR="0025608D" w:rsidRPr="0025608D" w:rsidRDefault="0025608D" w:rsidP="0025608D">
            <w:pPr>
              <w:spacing w:after="160" w:line="259" w:lineRule="auto"/>
              <w:jc w:val="center"/>
              <w:rPr>
                <w:rFonts w:ascii="Tahoma" w:hAnsi="Tahoma" w:cs="Tahoma"/>
                <w:b/>
                <w:bCs/>
                <w:color w:val="FFFFFF" w:themeColor="background1"/>
                <w:sz w:val="20"/>
                <w:szCs w:val="20"/>
                <w:lang w:val="sr-Latn-ME"/>
              </w:rPr>
            </w:pPr>
            <w:r w:rsidRPr="0025608D">
              <w:rPr>
                <w:rFonts w:ascii="Tahoma" w:hAnsi="Tahoma" w:cs="Tahoma"/>
                <w:b/>
                <w:bCs/>
                <w:color w:val="FFFFFF" w:themeColor="background1"/>
                <w:sz w:val="20"/>
                <w:szCs w:val="20"/>
                <w:lang w:val="sr-Latn-ME"/>
              </w:rPr>
              <w:t>Br.</w:t>
            </w:r>
          </w:p>
        </w:tc>
        <w:tc>
          <w:tcPr>
            <w:tcW w:w="2030" w:type="dxa"/>
            <w:shd w:val="clear" w:color="auto" w:fill="4472C4" w:themeFill="accent1"/>
            <w:noWrap/>
            <w:vAlign w:val="center"/>
            <w:hideMark/>
          </w:tcPr>
          <w:p w14:paraId="3791030F" w14:textId="51ED11C0" w:rsidR="0025608D" w:rsidRPr="0025608D" w:rsidRDefault="0025608D" w:rsidP="0025608D">
            <w:pPr>
              <w:spacing w:after="160" w:line="259" w:lineRule="auto"/>
              <w:jc w:val="center"/>
              <w:rPr>
                <w:rFonts w:ascii="Tahoma" w:hAnsi="Tahoma" w:cs="Tahoma"/>
                <w:b/>
                <w:bCs/>
                <w:color w:val="FFFFFF" w:themeColor="background1"/>
                <w:sz w:val="20"/>
                <w:szCs w:val="20"/>
                <w:lang w:val="sr-Latn-ME"/>
              </w:rPr>
            </w:pPr>
            <w:r w:rsidRPr="0025608D">
              <w:rPr>
                <w:rFonts w:ascii="Tahoma" w:hAnsi="Tahoma" w:cs="Tahoma"/>
                <w:b/>
                <w:bCs/>
                <w:color w:val="FFFFFF" w:themeColor="background1"/>
                <w:sz w:val="20"/>
                <w:szCs w:val="20"/>
                <w:lang w:val="sr-Latn-ME"/>
              </w:rPr>
              <w:t>Kriterijum rangiranja</w:t>
            </w:r>
          </w:p>
        </w:tc>
        <w:tc>
          <w:tcPr>
            <w:tcW w:w="2204" w:type="dxa"/>
            <w:shd w:val="clear" w:color="auto" w:fill="4472C4" w:themeFill="accent1"/>
            <w:noWrap/>
            <w:vAlign w:val="center"/>
            <w:hideMark/>
          </w:tcPr>
          <w:p w14:paraId="512F2067" w14:textId="77777777" w:rsidR="0025608D" w:rsidRPr="0025608D" w:rsidRDefault="0025608D" w:rsidP="0025608D">
            <w:pPr>
              <w:spacing w:after="160" w:line="259" w:lineRule="auto"/>
              <w:jc w:val="center"/>
              <w:rPr>
                <w:rFonts w:ascii="Tahoma" w:hAnsi="Tahoma" w:cs="Tahoma"/>
                <w:b/>
                <w:bCs/>
                <w:color w:val="FFFFFF" w:themeColor="background1"/>
                <w:sz w:val="20"/>
                <w:szCs w:val="20"/>
                <w:lang w:val="sr-Latn-ME"/>
              </w:rPr>
            </w:pPr>
            <w:r w:rsidRPr="0025608D">
              <w:rPr>
                <w:rFonts w:ascii="Tahoma" w:hAnsi="Tahoma" w:cs="Tahoma"/>
                <w:b/>
                <w:bCs/>
                <w:color w:val="FFFFFF" w:themeColor="background1"/>
                <w:sz w:val="20"/>
                <w:szCs w:val="20"/>
                <w:lang w:val="sr-Latn-ME"/>
              </w:rPr>
              <w:t>Ukupan broj bodova kriterijuma</w:t>
            </w:r>
          </w:p>
        </w:tc>
        <w:tc>
          <w:tcPr>
            <w:tcW w:w="4585" w:type="dxa"/>
            <w:shd w:val="clear" w:color="auto" w:fill="4472C4" w:themeFill="accent1"/>
            <w:noWrap/>
            <w:vAlign w:val="center"/>
            <w:hideMark/>
          </w:tcPr>
          <w:p w14:paraId="17FAF3F9" w14:textId="77777777" w:rsidR="0025608D" w:rsidRPr="0025608D" w:rsidRDefault="0025608D" w:rsidP="0025608D">
            <w:pPr>
              <w:spacing w:after="160" w:line="259" w:lineRule="auto"/>
              <w:jc w:val="center"/>
              <w:rPr>
                <w:rFonts w:ascii="Tahoma" w:hAnsi="Tahoma" w:cs="Tahoma"/>
                <w:b/>
                <w:bCs/>
                <w:color w:val="FFFFFF" w:themeColor="background1"/>
                <w:sz w:val="20"/>
                <w:szCs w:val="20"/>
                <w:lang w:val="sr-Latn-ME"/>
              </w:rPr>
            </w:pPr>
            <w:r w:rsidRPr="0025608D">
              <w:rPr>
                <w:rFonts w:ascii="Tahoma" w:hAnsi="Tahoma" w:cs="Tahoma"/>
                <w:b/>
                <w:bCs/>
                <w:color w:val="FFFFFF" w:themeColor="background1"/>
                <w:sz w:val="20"/>
                <w:szCs w:val="20"/>
                <w:lang w:val="sr-Latn-ME"/>
              </w:rPr>
              <w:t>Mjerilo ocjenjivanja</w:t>
            </w:r>
          </w:p>
        </w:tc>
      </w:tr>
      <w:tr w:rsidR="0025608D" w:rsidRPr="0025608D" w14:paraId="1D05D6B5" w14:textId="77777777" w:rsidTr="0025608D">
        <w:trPr>
          <w:trHeight w:val="227"/>
          <w:jc w:val="center"/>
        </w:trPr>
        <w:tc>
          <w:tcPr>
            <w:tcW w:w="531" w:type="dxa"/>
            <w:noWrap/>
          </w:tcPr>
          <w:p w14:paraId="539E920F"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1</w:t>
            </w:r>
          </w:p>
        </w:tc>
        <w:tc>
          <w:tcPr>
            <w:tcW w:w="2030" w:type="dxa"/>
            <w:noWrap/>
          </w:tcPr>
          <w:p w14:paraId="055626E4"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Omjer sufinansiranja od strane korisnika/aplikanta</w:t>
            </w:r>
          </w:p>
        </w:tc>
        <w:tc>
          <w:tcPr>
            <w:tcW w:w="2204" w:type="dxa"/>
            <w:noWrap/>
          </w:tcPr>
          <w:p w14:paraId="551E9959"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do 45</w:t>
            </w:r>
          </w:p>
        </w:tc>
        <w:tc>
          <w:tcPr>
            <w:tcW w:w="4585" w:type="dxa"/>
          </w:tcPr>
          <w:p w14:paraId="68BAC5C7" w14:textId="2792E050"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80% udio sufinansiranja ili veći od 80%, 45 bodova;</w:t>
            </w:r>
          </w:p>
          <w:p w14:paraId="604245D2"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 xml:space="preserve">od 51 do 80% udio sufinansiranja, 1,5 do 45 bodova </w:t>
            </w:r>
          </w:p>
          <w:p w14:paraId="0F3EA1E4" w14:textId="6B80870D"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(broj bodova = procenti sufinansiranja preko obaveznih 50% *1,5 tj. za svaki dodatni 1% sufinansiranja od strane aplikanta, dobija se 1,5 bodova do maksimalno 45 bodova)</w:t>
            </w:r>
          </w:p>
          <w:p w14:paraId="43227C42" w14:textId="716232F6"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50% udio sufinansiranja, 0 bodova;</w:t>
            </w:r>
          </w:p>
        </w:tc>
      </w:tr>
      <w:tr w:rsidR="0025608D" w:rsidRPr="0025608D" w14:paraId="50A6852A" w14:textId="77777777" w:rsidTr="0025608D">
        <w:trPr>
          <w:trHeight w:val="227"/>
          <w:jc w:val="center"/>
        </w:trPr>
        <w:tc>
          <w:tcPr>
            <w:tcW w:w="531" w:type="dxa"/>
            <w:noWrap/>
            <w:hideMark/>
          </w:tcPr>
          <w:p w14:paraId="040A925C"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2</w:t>
            </w:r>
          </w:p>
        </w:tc>
        <w:tc>
          <w:tcPr>
            <w:tcW w:w="2030" w:type="dxa"/>
            <w:noWrap/>
            <w:hideMark/>
          </w:tcPr>
          <w:p w14:paraId="249D742B"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Korištenje stambenog prostora (broj korisnika po m</w:t>
            </w:r>
            <w:r w:rsidRPr="0025608D">
              <w:rPr>
                <w:rFonts w:ascii="Tahoma" w:hAnsi="Tahoma" w:cs="Tahoma"/>
                <w:vertAlign w:val="superscript"/>
                <w:lang w:val="sr-Latn-ME"/>
              </w:rPr>
              <w:t xml:space="preserve">2 </w:t>
            </w:r>
            <w:r w:rsidRPr="0025608D">
              <w:rPr>
                <w:rFonts w:ascii="Tahoma" w:hAnsi="Tahoma" w:cs="Tahoma"/>
                <w:lang w:val="sr-Latn-ME"/>
              </w:rPr>
              <w:lastRenderedPageBreak/>
              <w:t>stambenog prostora)</w:t>
            </w:r>
          </w:p>
        </w:tc>
        <w:tc>
          <w:tcPr>
            <w:tcW w:w="2204" w:type="dxa"/>
            <w:noWrap/>
            <w:hideMark/>
          </w:tcPr>
          <w:p w14:paraId="477E578F"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lastRenderedPageBreak/>
              <w:t>do 20</w:t>
            </w:r>
          </w:p>
        </w:tc>
        <w:tc>
          <w:tcPr>
            <w:tcW w:w="4585" w:type="dxa"/>
            <w:hideMark/>
          </w:tcPr>
          <w:p w14:paraId="54F1DCCB" w14:textId="77777777" w:rsidR="0025608D" w:rsidRPr="0025608D" w:rsidRDefault="0025608D" w:rsidP="0025608D">
            <w:pPr>
              <w:spacing w:after="160" w:line="259" w:lineRule="auto"/>
              <w:jc w:val="both"/>
              <w:rPr>
                <w:rFonts w:ascii="Tahoma" w:hAnsi="Tahoma" w:cs="Tahoma"/>
                <w:lang w:val="bs-Latn-BA"/>
              </w:rPr>
            </w:pPr>
            <w:r w:rsidRPr="0025608D">
              <w:rPr>
                <w:rFonts w:ascii="Tahoma" w:hAnsi="Tahoma" w:cs="Tahoma"/>
                <w:lang w:val="bs-Latn-BA"/>
              </w:rPr>
              <w:t>manje od 20 m</w:t>
            </w:r>
            <w:r w:rsidRPr="0025608D">
              <w:rPr>
                <w:rFonts w:ascii="Tahoma" w:hAnsi="Tahoma" w:cs="Tahoma"/>
                <w:vertAlign w:val="superscript"/>
                <w:lang w:val="bs-Latn-BA"/>
              </w:rPr>
              <w:t>2</w:t>
            </w:r>
            <w:r w:rsidRPr="0025608D">
              <w:rPr>
                <w:rFonts w:ascii="Tahoma" w:hAnsi="Tahoma" w:cs="Tahoma"/>
                <w:lang w:val="bs-Latn-BA"/>
              </w:rPr>
              <w:t xml:space="preserve"> po korisniku (uključujući 20 m</w:t>
            </w:r>
            <w:r w:rsidRPr="0025608D">
              <w:rPr>
                <w:rFonts w:ascii="Tahoma" w:hAnsi="Tahoma" w:cs="Tahoma"/>
                <w:vertAlign w:val="superscript"/>
                <w:lang w:val="bs-Latn-BA"/>
              </w:rPr>
              <w:t>2</w:t>
            </w:r>
            <w:r w:rsidRPr="0025608D">
              <w:rPr>
                <w:rFonts w:ascii="Tahoma" w:hAnsi="Tahoma" w:cs="Tahoma"/>
                <w:lang w:val="bs-Latn-BA"/>
              </w:rPr>
              <w:t>) – 20 bodova</w:t>
            </w:r>
          </w:p>
          <w:p w14:paraId="5DB03B66" w14:textId="77777777" w:rsidR="0025608D" w:rsidRPr="0025608D" w:rsidRDefault="0025608D" w:rsidP="0025608D">
            <w:pPr>
              <w:spacing w:after="160" w:line="259" w:lineRule="auto"/>
              <w:jc w:val="both"/>
              <w:rPr>
                <w:rFonts w:ascii="Tahoma" w:hAnsi="Tahoma" w:cs="Tahoma"/>
                <w:lang w:val="bs-Latn-BA"/>
              </w:rPr>
            </w:pPr>
            <w:r w:rsidRPr="0025608D">
              <w:rPr>
                <w:rFonts w:ascii="Tahoma" w:hAnsi="Tahoma" w:cs="Tahoma"/>
                <w:lang w:val="bs-Latn-BA"/>
              </w:rPr>
              <w:t>od 20 m</w:t>
            </w:r>
            <w:r w:rsidRPr="0025608D">
              <w:rPr>
                <w:rFonts w:ascii="Tahoma" w:hAnsi="Tahoma" w:cs="Tahoma"/>
                <w:vertAlign w:val="superscript"/>
                <w:lang w:val="bs-Latn-BA"/>
              </w:rPr>
              <w:t>2</w:t>
            </w:r>
            <w:r w:rsidRPr="0025608D">
              <w:rPr>
                <w:rFonts w:ascii="Tahoma" w:hAnsi="Tahoma" w:cs="Tahoma"/>
                <w:lang w:val="bs-Latn-BA"/>
              </w:rPr>
              <w:t xml:space="preserve"> do 30 m</w:t>
            </w:r>
            <w:r w:rsidRPr="0025608D">
              <w:rPr>
                <w:rFonts w:ascii="Tahoma" w:hAnsi="Tahoma" w:cs="Tahoma"/>
                <w:vertAlign w:val="superscript"/>
                <w:lang w:val="bs-Latn-BA"/>
              </w:rPr>
              <w:t>2</w:t>
            </w:r>
            <w:r w:rsidRPr="0025608D">
              <w:rPr>
                <w:rFonts w:ascii="Tahoma" w:hAnsi="Tahoma" w:cs="Tahoma"/>
                <w:lang w:val="bs-Latn-BA"/>
              </w:rPr>
              <w:t xml:space="preserve"> po korisniku (uključujući 30 m</w:t>
            </w:r>
            <w:r w:rsidRPr="0025608D">
              <w:rPr>
                <w:rFonts w:ascii="Tahoma" w:hAnsi="Tahoma" w:cs="Tahoma"/>
                <w:vertAlign w:val="superscript"/>
                <w:lang w:val="bs-Latn-BA"/>
              </w:rPr>
              <w:t>2</w:t>
            </w:r>
            <w:r w:rsidRPr="0025608D">
              <w:rPr>
                <w:rFonts w:ascii="Tahoma" w:hAnsi="Tahoma" w:cs="Tahoma"/>
                <w:lang w:val="bs-Latn-BA"/>
              </w:rPr>
              <w:t>) – 16 bodova</w:t>
            </w:r>
          </w:p>
          <w:p w14:paraId="4CE3A839" w14:textId="77777777" w:rsidR="0025608D" w:rsidRPr="0025608D" w:rsidRDefault="0025608D" w:rsidP="0025608D">
            <w:pPr>
              <w:spacing w:after="160" w:line="259" w:lineRule="auto"/>
              <w:jc w:val="both"/>
              <w:rPr>
                <w:rFonts w:ascii="Tahoma" w:hAnsi="Tahoma" w:cs="Tahoma"/>
                <w:lang w:val="bs-Latn-BA"/>
              </w:rPr>
            </w:pPr>
            <w:r w:rsidRPr="0025608D">
              <w:rPr>
                <w:rFonts w:ascii="Tahoma" w:hAnsi="Tahoma" w:cs="Tahoma"/>
                <w:lang w:val="bs-Latn-BA"/>
              </w:rPr>
              <w:lastRenderedPageBreak/>
              <w:t>od 30 m</w:t>
            </w:r>
            <w:r w:rsidRPr="0025608D">
              <w:rPr>
                <w:rFonts w:ascii="Tahoma" w:hAnsi="Tahoma" w:cs="Tahoma"/>
                <w:vertAlign w:val="superscript"/>
                <w:lang w:val="bs-Latn-BA"/>
              </w:rPr>
              <w:t>2</w:t>
            </w:r>
            <w:r w:rsidRPr="0025608D">
              <w:rPr>
                <w:rFonts w:ascii="Tahoma" w:hAnsi="Tahoma" w:cs="Tahoma"/>
                <w:lang w:val="bs-Latn-BA"/>
              </w:rPr>
              <w:t xml:space="preserve"> do 40 m</w:t>
            </w:r>
            <w:r w:rsidRPr="0025608D">
              <w:rPr>
                <w:rFonts w:ascii="Tahoma" w:hAnsi="Tahoma" w:cs="Tahoma"/>
                <w:vertAlign w:val="superscript"/>
                <w:lang w:val="bs-Latn-BA"/>
              </w:rPr>
              <w:t>2</w:t>
            </w:r>
            <w:r w:rsidRPr="0025608D">
              <w:rPr>
                <w:rFonts w:ascii="Tahoma" w:hAnsi="Tahoma" w:cs="Tahoma"/>
                <w:lang w:val="bs-Latn-BA"/>
              </w:rPr>
              <w:t xml:space="preserve"> po korisniku (uključujući 40 m</w:t>
            </w:r>
            <w:r w:rsidRPr="0025608D">
              <w:rPr>
                <w:rFonts w:ascii="Tahoma" w:hAnsi="Tahoma" w:cs="Tahoma"/>
                <w:vertAlign w:val="superscript"/>
                <w:lang w:val="bs-Latn-BA"/>
              </w:rPr>
              <w:t>2</w:t>
            </w:r>
            <w:r w:rsidRPr="0025608D">
              <w:rPr>
                <w:rFonts w:ascii="Tahoma" w:hAnsi="Tahoma" w:cs="Tahoma"/>
                <w:lang w:val="bs-Latn-BA"/>
              </w:rPr>
              <w:t>)– 11 bodova</w:t>
            </w:r>
          </w:p>
          <w:p w14:paraId="54B96953" w14:textId="77777777" w:rsidR="0025608D" w:rsidRPr="0025608D" w:rsidRDefault="0025608D" w:rsidP="0025608D">
            <w:pPr>
              <w:spacing w:after="160" w:line="259" w:lineRule="auto"/>
              <w:jc w:val="both"/>
              <w:rPr>
                <w:rFonts w:ascii="Tahoma" w:hAnsi="Tahoma" w:cs="Tahoma"/>
                <w:lang w:val="bs-Latn-BA"/>
              </w:rPr>
            </w:pPr>
            <w:r w:rsidRPr="0025608D">
              <w:rPr>
                <w:rFonts w:ascii="Tahoma" w:hAnsi="Tahoma" w:cs="Tahoma"/>
                <w:lang w:val="bs-Latn-BA"/>
              </w:rPr>
              <w:t>od 40 m</w:t>
            </w:r>
            <w:r w:rsidRPr="0025608D">
              <w:rPr>
                <w:rFonts w:ascii="Tahoma" w:hAnsi="Tahoma" w:cs="Tahoma"/>
                <w:vertAlign w:val="superscript"/>
                <w:lang w:val="bs-Latn-BA"/>
              </w:rPr>
              <w:t>2</w:t>
            </w:r>
            <w:r w:rsidRPr="0025608D">
              <w:rPr>
                <w:rFonts w:ascii="Tahoma" w:hAnsi="Tahoma" w:cs="Tahoma"/>
                <w:lang w:val="bs-Latn-BA"/>
              </w:rPr>
              <w:t xml:space="preserve"> do 50 m</w:t>
            </w:r>
            <w:r w:rsidRPr="0025608D">
              <w:rPr>
                <w:rFonts w:ascii="Tahoma" w:hAnsi="Tahoma" w:cs="Tahoma"/>
                <w:vertAlign w:val="superscript"/>
                <w:lang w:val="bs-Latn-BA"/>
              </w:rPr>
              <w:t>2</w:t>
            </w:r>
            <w:r w:rsidRPr="0025608D">
              <w:rPr>
                <w:rFonts w:ascii="Tahoma" w:hAnsi="Tahoma" w:cs="Tahoma"/>
                <w:lang w:val="bs-Latn-BA"/>
              </w:rPr>
              <w:t xml:space="preserve"> po korisniku (uključujući 50 m</w:t>
            </w:r>
            <w:r w:rsidRPr="0025608D">
              <w:rPr>
                <w:rFonts w:ascii="Tahoma" w:hAnsi="Tahoma" w:cs="Tahoma"/>
                <w:vertAlign w:val="superscript"/>
                <w:lang w:val="bs-Latn-BA"/>
              </w:rPr>
              <w:t>2</w:t>
            </w:r>
            <w:r w:rsidRPr="0025608D">
              <w:rPr>
                <w:rFonts w:ascii="Tahoma" w:hAnsi="Tahoma" w:cs="Tahoma"/>
                <w:lang w:val="bs-Latn-BA"/>
              </w:rPr>
              <w:t>)– 8 bodova</w:t>
            </w:r>
          </w:p>
          <w:p w14:paraId="680A6E17" w14:textId="77777777" w:rsidR="0025608D" w:rsidRPr="0025608D" w:rsidRDefault="0025608D" w:rsidP="0025608D">
            <w:pPr>
              <w:spacing w:after="160" w:line="259" w:lineRule="auto"/>
              <w:jc w:val="both"/>
              <w:rPr>
                <w:rFonts w:ascii="Tahoma" w:hAnsi="Tahoma" w:cs="Tahoma"/>
                <w:lang w:val="bs-Latn-BA"/>
              </w:rPr>
            </w:pPr>
            <w:r w:rsidRPr="0025608D">
              <w:rPr>
                <w:rFonts w:ascii="Tahoma" w:hAnsi="Tahoma" w:cs="Tahoma"/>
                <w:lang w:val="bs-Latn-BA"/>
              </w:rPr>
              <w:t>od 50 m</w:t>
            </w:r>
            <w:r w:rsidRPr="0025608D">
              <w:rPr>
                <w:rFonts w:ascii="Tahoma" w:hAnsi="Tahoma" w:cs="Tahoma"/>
                <w:vertAlign w:val="superscript"/>
                <w:lang w:val="bs-Latn-BA"/>
              </w:rPr>
              <w:t>2</w:t>
            </w:r>
            <w:r w:rsidRPr="0025608D">
              <w:rPr>
                <w:rFonts w:ascii="Tahoma" w:hAnsi="Tahoma" w:cs="Tahoma"/>
                <w:lang w:val="bs-Latn-BA"/>
              </w:rPr>
              <w:t xml:space="preserve"> do 60 m</w:t>
            </w:r>
            <w:r w:rsidRPr="0025608D">
              <w:rPr>
                <w:rFonts w:ascii="Tahoma" w:hAnsi="Tahoma" w:cs="Tahoma"/>
                <w:vertAlign w:val="superscript"/>
                <w:lang w:val="bs-Latn-BA"/>
              </w:rPr>
              <w:t>2</w:t>
            </w:r>
            <w:r w:rsidRPr="0025608D">
              <w:rPr>
                <w:rFonts w:ascii="Tahoma" w:hAnsi="Tahoma" w:cs="Tahoma"/>
                <w:lang w:val="bs-Latn-BA"/>
              </w:rPr>
              <w:t xml:space="preserve"> po korisniku (uključujući 60 m</w:t>
            </w:r>
            <w:r w:rsidRPr="0025608D">
              <w:rPr>
                <w:rFonts w:ascii="Tahoma" w:hAnsi="Tahoma" w:cs="Tahoma"/>
                <w:vertAlign w:val="superscript"/>
                <w:lang w:val="bs-Latn-BA"/>
              </w:rPr>
              <w:t>2</w:t>
            </w:r>
            <w:r w:rsidRPr="0025608D">
              <w:rPr>
                <w:rFonts w:ascii="Tahoma" w:hAnsi="Tahoma" w:cs="Tahoma"/>
                <w:lang w:val="bs-Latn-BA"/>
              </w:rPr>
              <w:t>)– 5 bodova</w:t>
            </w:r>
          </w:p>
          <w:p w14:paraId="542C419D" w14:textId="7DD52167" w:rsidR="0025608D" w:rsidRPr="0025608D" w:rsidRDefault="0025608D" w:rsidP="0025608D">
            <w:pPr>
              <w:spacing w:after="160" w:line="259" w:lineRule="auto"/>
              <w:jc w:val="both"/>
              <w:rPr>
                <w:rFonts w:ascii="Tahoma" w:hAnsi="Tahoma" w:cs="Tahoma"/>
                <w:lang w:val="bs-Latn-BA"/>
              </w:rPr>
            </w:pPr>
            <w:r w:rsidRPr="0025608D">
              <w:rPr>
                <w:rFonts w:ascii="Tahoma" w:hAnsi="Tahoma" w:cs="Tahoma"/>
                <w:lang w:val="bs-Latn-BA"/>
              </w:rPr>
              <w:t>više od 60 m</w:t>
            </w:r>
            <w:r w:rsidRPr="0025608D">
              <w:rPr>
                <w:rFonts w:ascii="Tahoma" w:hAnsi="Tahoma" w:cs="Tahoma"/>
                <w:vertAlign w:val="superscript"/>
                <w:lang w:val="bs-Latn-BA"/>
              </w:rPr>
              <w:t>2</w:t>
            </w:r>
            <w:r w:rsidRPr="0025608D">
              <w:rPr>
                <w:rFonts w:ascii="Tahoma" w:hAnsi="Tahoma" w:cs="Tahoma"/>
                <w:lang w:val="bs-Latn-BA"/>
              </w:rPr>
              <w:t xml:space="preserve"> – 0 bodova</w:t>
            </w:r>
          </w:p>
          <w:p w14:paraId="40DE1434"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 xml:space="preserve">*napomena: računa se ukupna stambena površina, a ne grijana </w:t>
            </w:r>
          </w:p>
          <w:p w14:paraId="22B9E583" w14:textId="77777777" w:rsidR="0025608D" w:rsidRPr="0025608D" w:rsidRDefault="0025608D" w:rsidP="0025608D">
            <w:pPr>
              <w:spacing w:after="160" w:line="259" w:lineRule="auto"/>
              <w:jc w:val="both"/>
              <w:rPr>
                <w:rFonts w:ascii="Tahoma" w:hAnsi="Tahoma" w:cs="Tahoma"/>
                <w:lang w:val="sr-Latn-ME"/>
              </w:rPr>
            </w:pPr>
          </w:p>
        </w:tc>
      </w:tr>
      <w:tr w:rsidR="0025608D" w:rsidRPr="0025608D" w14:paraId="2E71A78B" w14:textId="77777777" w:rsidTr="0025608D">
        <w:trPr>
          <w:trHeight w:val="227"/>
          <w:jc w:val="center"/>
        </w:trPr>
        <w:tc>
          <w:tcPr>
            <w:tcW w:w="531" w:type="dxa"/>
            <w:noWrap/>
          </w:tcPr>
          <w:p w14:paraId="1F4F8D67"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lastRenderedPageBreak/>
              <w:t>3</w:t>
            </w:r>
          </w:p>
        </w:tc>
        <w:tc>
          <w:tcPr>
            <w:tcW w:w="2030" w:type="dxa"/>
            <w:noWrap/>
          </w:tcPr>
          <w:p w14:paraId="49F06689"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Godišnja potrošnja električne energije u periodu od prethodnih 12 mjeseci</w:t>
            </w:r>
          </w:p>
        </w:tc>
        <w:tc>
          <w:tcPr>
            <w:tcW w:w="2204" w:type="dxa"/>
            <w:noWrap/>
          </w:tcPr>
          <w:p w14:paraId="269A5F80"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do 15</w:t>
            </w:r>
          </w:p>
        </w:tc>
        <w:tc>
          <w:tcPr>
            <w:tcW w:w="4585" w:type="dxa"/>
          </w:tcPr>
          <w:p w14:paraId="0B4E8127"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veća od 6000 kWh, 15 bodova</w:t>
            </w:r>
          </w:p>
          <w:p w14:paraId="5DBD6BDD"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od 5000 kWh do 6000 kWh (uključujući 6000 kWh), 10 bodova</w:t>
            </w:r>
          </w:p>
          <w:p w14:paraId="46DFEE0D"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od 4000 kWh do 5000 kWh (uključujući 5000 kWh), 5 bodova</w:t>
            </w:r>
          </w:p>
          <w:p w14:paraId="17BC50BA"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manja od 4000 kWh (uključujući 4000 kWh), 0 bodova</w:t>
            </w:r>
          </w:p>
        </w:tc>
      </w:tr>
      <w:tr w:rsidR="0025608D" w:rsidRPr="0025608D" w14:paraId="266C6581" w14:textId="77777777" w:rsidTr="0025608D">
        <w:trPr>
          <w:trHeight w:val="227"/>
          <w:jc w:val="center"/>
        </w:trPr>
        <w:tc>
          <w:tcPr>
            <w:tcW w:w="531" w:type="dxa"/>
            <w:noWrap/>
          </w:tcPr>
          <w:p w14:paraId="59354D45"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4</w:t>
            </w:r>
          </w:p>
        </w:tc>
        <w:tc>
          <w:tcPr>
            <w:tcW w:w="2030" w:type="dxa"/>
            <w:noWrap/>
          </w:tcPr>
          <w:p w14:paraId="6CE23EBC"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Korištenje toplotne pumpe za grijanje i/ili hlađenje</w:t>
            </w:r>
          </w:p>
        </w:tc>
        <w:tc>
          <w:tcPr>
            <w:tcW w:w="2204" w:type="dxa"/>
            <w:noWrap/>
          </w:tcPr>
          <w:p w14:paraId="3E8D9700"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10</w:t>
            </w:r>
          </w:p>
        </w:tc>
        <w:tc>
          <w:tcPr>
            <w:tcW w:w="4585" w:type="dxa"/>
          </w:tcPr>
          <w:p w14:paraId="58E6B9A2"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ukoliko predmetna stambena jedinica ima ugrađenu i koristi toplotnu pumpu za grijanje i/ili hlađenje - 10 bodova</w:t>
            </w:r>
          </w:p>
        </w:tc>
      </w:tr>
      <w:tr w:rsidR="0025608D" w:rsidRPr="0025608D" w14:paraId="5A2C6B20" w14:textId="77777777" w:rsidTr="0025608D">
        <w:trPr>
          <w:trHeight w:val="227"/>
          <w:jc w:val="center"/>
        </w:trPr>
        <w:tc>
          <w:tcPr>
            <w:tcW w:w="531" w:type="dxa"/>
            <w:noWrap/>
          </w:tcPr>
          <w:p w14:paraId="277EBDB0"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5</w:t>
            </w:r>
          </w:p>
        </w:tc>
        <w:tc>
          <w:tcPr>
            <w:tcW w:w="2030" w:type="dxa"/>
            <w:noWrap/>
          </w:tcPr>
          <w:p w14:paraId="443FC8C7"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Žena vlasnica predmetne stambene jedinice</w:t>
            </w:r>
          </w:p>
        </w:tc>
        <w:tc>
          <w:tcPr>
            <w:tcW w:w="2204" w:type="dxa"/>
            <w:noWrap/>
          </w:tcPr>
          <w:p w14:paraId="5E064AD7"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3</w:t>
            </w:r>
          </w:p>
        </w:tc>
        <w:tc>
          <w:tcPr>
            <w:tcW w:w="4585" w:type="dxa"/>
          </w:tcPr>
          <w:p w14:paraId="3271FE10"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ukoliko je žena vlasnica predmetne stambene jedinice - 3 boda</w:t>
            </w:r>
          </w:p>
        </w:tc>
      </w:tr>
      <w:tr w:rsidR="0025608D" w:rsidRPr="0025608D" w14:paraId="6967C8F8" w14:textId="77777777" w:rsidTr="0025608D">
        <w:trPr>
          <w:trHeight w:val="227"/>
          <w:jc w:val="center"/>
        </w:trPr>
        <w:tc>
          <w:tcPr>
            <w:tcW w:w="531" w:type="dxa"/>
            <w:noWrap/>
          </w:tcPr>
          <w:p w14:paraId="7516971E"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6</w:t>
            </w:r>
          </w:p>
        </w:tc>
        <w:tc>
          <w:tcPr>
            <w:tcW w:w="2030" w:type="dxa"/>
            <w:noWrap/>
          </w:tcPr>
          <w:p w14:paraId="7EB05AB2"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Broj osoba mlađih od 35 godina u kućnoj zajednici</w:t>
            </w:r>
          </w:p>
        </w:tc>
        <w:tc>
          <w:tcPr>
            <w:tcW w:w="2204" w:type="dxa"/>
            <w:noWrap/>
          </w:tcPr>
          <w:p w14:paraId="4E946828"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do 7</w:t>
            </w:r>
          </w:p>
        </w:tc>
        <w:tc>
          <w:tcPr>
            <w:tcW w:w="4585" w:type="dxa"/>
          </w:tcPr>
          <w:p w14:paraId="2E6CAC5C"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dvije ili više osoba, 7 bodova</w:t>
            </w:r>
          </w:p>
          <w:p w14:paraId="1A1D197E" w14:textId="77777777" w:rsidR="0025608D" w:rsidRPr="0025608D" w:rsidRDefault="0025608D" w:rsidP="0025608D">
            <w:pPr>
              <w:spacing w:after="160" w:line="259" w:lineRule="auto"/>
              <w:jc w:val="both"/>
              <w:rPr>
                <w:rFonts w:ascii="Tahoma" w:hAnsi="Tahoma" w:cs="Tahoma"/>
                <w:lang w:val="sr-Latn-ME"/>
              </w:rPr>
            </w:pPr>
            <w:r w:rsidRPr="0025608D">
              <w:rPr>
                <w:rFonts w:ascii="Tahoma" w:hAnsi="Tahoma" w:cs="Tahoma"/>
                <w:lang w:val="sr-Latn-ME"/>
              </w:rPr>
              <w:t>jedna osoba, 5 bodova</w:t>
            </w:r>
          </w:p>
        </w:tc>
      </w:tr>
      <w:tr w:rsidR="0025608D" w:rsidRPr="0025608D" w14:paraId="7EA2B9F7" w14:textId="77777777" w:rsidTr="0025608D">
        <w:trPr>
          <w:trHeight w:val="227"/>
          <w:jc w:val="center"/>
        </w:trPr>
        <w:tc>
          <w:tcPr>
            <w:tcW w:w="531" w:type="dxa"/>
            <w:shd w:val="clear" w:color="auto" w:fill="4472C4" w:themeFill="accent1"/>
            <w:noWrap/>
          </w:tcPr>
          <w:p w14:paraId="4D95B5E6" w14:textId="77777777" w:rsidR="0025608D" w:rsidRPr="0025608D" w:rsidRDefault="0025608D" w:rsidP="0025608D">
            <w:pPr>
              <w:spacing w:after="160" w:line="259" w:lineRule="auto"/>
              <w:jc w:val="both"/>
              <w:rPr>
                <w:rFonts w:ascii="Tahoma" w:hAnsi="Tahoma" w:cs="Tahoma"/>
                <w:b/>
                <w:bCs/>
                <w:color w:val="FFFFFF" w:themeColor="background1"/>
                <w:sz w:val="20"/>
                <w:szCs w:val="20"/>
                <w:lang w:val="sr-Latn-ME"/>
              </w:rPr>
            </w:pPr>
          </w:p>
        </w:tc>
        <w:tc>
          <w:tcPr>
            <w:tcW w:w="2030" w:type="dxa"/>
            <w:shd w:val="clear" w:color="auto" w:fill="4472C4" w:themeFill="accent1"/>
            <w:noWrap/>
          </w:tcPr>
          <w:p w14:paraId="0370104D" w14:textId="746F7203" w:rsidR="0025608D" w:rsidRPr="0025608D" w:rsidRDefault="0025608D" w:rsidP="0025608D">
            <w:pPr>
              <w:spacing w:after="160" w:line="259" w:lineRule="auto"/>
              <w:jc w:val="both"/>
              <w:rPr>
                <w:rFonts w:ascii="Tahoma" w:hAnsi="Tahoma" w:cs="Tahoma"/>
                <w:b/>
                <w:bCs/>
                <w:color w:val="FFFFFF" w:themeColor="background1"/>
                <w:sz w:val="20"/>
                <w:szCs w:val="20"/>
                <w:lang w:val="sr-Latn-ME"/>
              </w:rPr>
            </w:pPr>
            <w:r w:rsidRPr="0025608D">
              <w:rPr>
                <w:rFonts w:ascii="Tahoma" w:hAnsi="Tahoma" w:cs="Tahoma"/>
                <w:b/>
                <w:bCs/>
                <w:color w:val="FFFFFF" w:themeColor="background1"/>
                <w:sz w:val="20"/>
                <w:szCs w:val="20"/>
                <w:lang w:val="sr-Latn-ME"/>
              </w:rPr>
              <w:t xml:space="preserve">Ukupan broj bodova </w:t>
            </w:r>
          </w:p>
        </w:tc>
        <w:tc>
          <w:tcPr>
            <w:tcW w:w="2204" w:type="dxa"/>
            <w:shd w:val="clear" w:color="auto" w:fill="4472C4" w:themeFill="accent1"/>
            <w:noWrap/>
          </w:tcPr>
          <w:p w14:paraId="7D2E01FB" w14:textId="77777777" w:rsidR="0025608D" w:rsidRPr="0025608D" w:rsidRDefault="0025608D" w:rsidP="0025608D">
            <w:pPr>
              <w:spacing w:after="160" w:line="259" w:lineRule="auto"/>
              <w:jc w:val="both"/>
              <w:rPr>
                <w:rFonts w:ascii="Tahoma" w:hAnsi="Tahoma" w:cs="Tahoma"/>
                <w:b/>
                <w:bCs/>
                <w:color w:val="FFFFFF" w:themeColor="background1"/>
                <w:sz w:val="20"/>
                <w:szCs w:val="20"/>
                <w:lang w:val="sr-Latn-ME"/>
              </w:rPr>
            </w:pPr>
            <w:r w:rsidRPr="0025608D">
              <w:rPr>
                <w:rFonts w:ascii="Tahoma" w:hAnsi="Tahoma" w:cs="Tahoma"/>
                <w:b/>
                <w:bCs/>
                <w:color w:val="FFFFFF" w:themeColor="background1"/>
                <w:sz w:val="20"/>
                <w:szCs w:val="20"/>
                <w:lang w:val="sr-Latn-ME"/>
              </w:rPr>
              <w:t>100</w:t>
            </w:r>
          </w:p>
        </w:tc>
        <w:tc>
          <w:tcPr>
            <w:tcW w:w="4585" w:type="dxa"/>
            <w:shd w:val="clear" w:color="auto" w:fill="4472C4" w:themeFill="accent1"/>
          </w:tcPr>
          <w:p w14:paraId="690EFA3C" w14:textId="77777777" w:rsidR="0025608D" w:rsidRPr="0025608D" w:rsidRDefault="0025608D" w:rsidP="0025608D">
            <w:pPr>
              <w:spacing w:after="160" w:line="259" w:lineRule="auto"/>
              <w:jc w:val="both"/>
              <w:rPr>
                <w:rFonts w:ascii="Tahoma" w:hAnsi="Tahoma" w:cs="Tahoma"/>
                <w:b/>
                <w:bCs/>
                <w:color w:val="FFFFFF" w:themeColor="background1"/>
                <w:sz w:val="20"/>
                <w:szCs w:val="20"/>
                <w:lang w:val="sr-Latn-ME"/>
              </w:rPr>
            </w:pPr>
          </w:p>
        </w:tc>
      </w:tr>
    </w:tbl>
    <w:p w14:paraId="43C547B2" w14:textId="77777777" w:rsidR="0025608D" w:rsidRPr="0025608D" w:rsidRDefault="0025608D" w:rsidP="0025608D">
      <w:pPr>
        <w:jc w:val="both"/>
        <w:rPr>
          <w:rFonts w:ascii="Tahoma" w:hAnsi="Tahoma" w:cs="Tahoma"/>
        </w:rPr>
      </w:pPr>
    </w:p>
    <w:p w14:paraId="025C4106" w14:textId="77777777" w:rsidR="0025608D" w:rsidRPr="0025608D" w:rsidRDefault="0025608D" w:rsidP="0025608D">
      <w:pPr>
        <w:jc w:val="both"/>
        <w:rPr>
          <w:rFonts w:ascii="Tahoma" w:hAnsi="Tahoma" w:cs="Tahoma"/>
          <w:lang w:val="sr-Latn-ME"/>
        </w:rPr>
      </w:pPr>
      <w:r w:rsidRPr="0025608D">
        <w:rPr>
          <w:rFonts w:ascii="Tahoma" w:hAnsi="Tahoma" w:cs="Tahoma"/>
          <w:lang w:val="sr-Latn-ME"/>
        </w:rPr>
        <w:t>Najveći broj bodova koji se može dodijeliti krajnjem korisniku/aplikantu iznosi 100 bodova. Prednost pri dodjeli sredstava imaju krajnji korisnici/aplikanti s ostvarenim većim brojem bodova. Poređenjem rezultata Komisije za svaki projekat pojedinačno, razvija se lista rangiranja svih prijava koje su ispunile uslove za sufinansiranje kroz Model. Ukoliko dva ili više objekata imaju jednak broj bodova, bolje rangirani objekat biće onaj koji ima veći broj korisnika.</w:t>
      </w:r>
    </w:p>
    <w:p w14:paraId="28372FFD" w14:textId="77777777" w:rsidR="0025608D" w:rsidRPr="0025608D" w:rsidRDefault="0025608D" w:rsidP="0025608D">
      <w:pPr>
        <w:jc w:val="both"/>
        <w:rPr>
          <w:rFonts w:ascii="Tahoma" w:hAnsi="Tahoma" w:cs="Tahoma"/>
          <w:lang w:val="sr-Latn-ME"/>
        </w:rPr>
      </w:pPr>
    </w:p>
    <w:p w14:paraId="6565C583" w14:textId="00036B25" w:rsidR="0025608D" w:rsidRPr="0025608D" w:rsidRDefault="0025608D" w:rsidP="0025608D">
      <w:pPr>
        <w:jc w:val="both"/>
        <w:rPr>
          <w:rFonts w:ascii="Tahoma" w:hAnsi="Tahoma" w:cs="Tahoma"/>
          <w:lang w:val="sr-Latn-ME"/>
        </w:rPr>
      </w:pPr>
      <w:r w:rsidRPr="0025608D">
        <w:rPr>
          <w:rFonts w:ascii="Tahoma" w:hAnsi="Tahoma" w:cs="Tahoma"/>
          <w:lang w:val="sr-Latn-ME"/>
        </w:rPr>
        <w:t>Ukoliko se pojavi potreba za pojašnjenjem podataka koji su prezentovani u prijavi, u toku ocjenjivanja, a prije donošenja konačne odluke o odabiru objekata za sufinansiranje, Komisija zadržava pravo da zatraži dodatna pojašnjenja od krajnjeg korisnika/aplikanta.</w:t>
      </w:r>
    </w:p>
    <w:p w14:paraId="0C572323" w14:textId="77777777" w:rsidR="0025608D" w:rsidRPr="0025608D" w:rsidRDefault="0025608D" w:rsidP="0025608D">
      <w:pPr>
        <w:jc w:val="both"/>
        <w:rPr>
          <w:rFonts w:ascii="Tahoma" w:hAnsi="Tahoma" w:cs="Tahoma"/>
          <w:lang w:val="sr-Latn-ME"/>
        </w:rPr>
      </w:pPr>
      <w:r w:rsidRPr="0025608D">
        <w:rPr>
          <w:rFonts w:ascii="Tahoma" w:hAnsi="Tahoma" w:cs="Tahoma"/>
          <w:lang w:val="sr-Latn-ME"/>
        </w:rPr>
        <w:t>Nakon što se formira lista aplikacija koje zadovoljavaju opšte i tehničke kriterijume, stručna lica angažovana od strane UNDP-a izlaze na teren, vrše vizuelnu verifikaciju informacija iz aplikacije, te provjeru tehničkih uslova za instalaciju solarnog sistema. Ukoliko stručna lica procjene da na prijavljenom objektu tehnički nije moguće ugraditi solarni sistem, Grad i UNDP zadržavaju pravo da tu prijavu odbace.</w:t>
      </w:r>
    </w:p>
    <w:p w14:paraId="2B16F971" w14:textId="05EBA273" w:rsidR="004067BF" w:rsidRPr="0025608D" w:rsidRDefault="0025608D" w:rsidP="0025608D">
      <w:pPr>
        <w:jc w:val="both"/>
      </w:pPr>
      <w:r w:rsidRPr="0025608D">
        <w:rPr>
          <w:rFonts w:ascii="Tahoma" w:hAnsi="Tahoma" w:cs="Tahoma"/>
          <w:lang w:val="sr-Latn-ME"/>
        </w:rPr>
        <w:t xml:space="preserve">Nakon vizuelne verifikacije podataka iz aplikacija, formira se konačna rang lista objekata koji zadovoljavaju sve uslove za ugradnju solarnih sistema za vlastite potrebe.    </w:t>
      </w:r>
    </w:p>
    <w:sectPr w:rsidR="004067BF" w:rsidRPr="0025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41D6"/>
    <w:multiLevelType w:val="hybridMultilevel"/>
    <w:tmpl w:val="CF22C0A8"/>
    <w:lvl w:ilvl="0" w:tplc="0809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6D4F398E"/>
    <w:multiLevelType w:val="hybridMultilevel"/>
    <w:tmpl w:val="49CEEA86"/>
    <w:lvl w:ilvl="0" w:tplc="FFFFFFFF">
      <w:start w:val="1"/>
      <w:numFmt w:val="decimal"/>
      <w:lvlText w:val="%1."/>
      <w:lvlJc w:val="left"/>
      <w:pPr>
        <w:ind w:left="644"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9C6D2B"/>
    <w:multiLevelType w:val="hybridMultilevel"/>
    <w:tmpl w:val="C56C67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9"/>
    <w:rsid w:val="001103BC"/>
    <w:rsid w:val="0025608D"/>
    <w:rsid w:val="00267729"/>
    <w:rsid w:val="004067BF"/>
    <w:rsid w:val="004959C2"/>
    <w:rsid w:val="005B7BD0"/>
    <w:rsid w:val="006D7B48"/>
    <w:rsid w:val="006E079D"/>
    <w:rsid w:val="008B6F3E"/>
    <w:rsid w:val="00F27E6F"/>
    <w:rsid w:val="00F5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D281"/>
  <w15:chartTrackingRefBased/>
  <w15:docId w15:val="{6FA14887-A313-45DC-9589-645B47B8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FA Table Grid"/>
    <w:basedOn w:val="TableNormal"/>
    <w:uiPriority w:val="39"/>
    <w:rsid w:val="002677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2C3807C2F384D86333F40AB7E6DC8" ma:contentTypeVersion="14" ma:contentTypeDescription="Create a new document." ma:contentTypeScope="" ma:versionID="91ced749f84f13f9600e82901e929f16">
  <xsd:schema xmlns:xsd="http://www.w3.org/2001/XMLSchema" xmlns:xs="http://www.w3.org/2001/XMLSchema" xmlns:p="http://schemas.microsoft.com/office/2006/metadata/properties" xmlns:ns2="de777af5-75c5-4059-8842-b3ca2d118c77" xmlns:ns3="8473b686-699c-4c82-a6c9-aace401bacaf" targetNamespace="http://schemas.microsoft.com/office/2006/metadata/properties" ma:root="true" ma:fieldsID="d0c5796b0962a6c7939d1c89a259b11c" ns2:_="" ns3:_="">
    <xsd:import namespace="de777af5-75c5-4059-8842-b3ca2d118c77"/>
    <xsd:import namespace="8473b686-699c-4c82-a6c9-aace401bac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73b686-699c-4c82-a6c9-aace401bac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5CCF77-DE29-487D-86A9-6D29A46BA97E}"/>
</file>

<file path=customXml/itemProps2.xml><?xml version="1.0" encoding="utf-8"?>
<ds:datastoreItem xmlns:ds="http://schemas.openxmlformats.org/officeDocument/2006/customXml" ds:itemID="{A61B6A22-71CC-4A39-890F-AB0D8292D7EA}">
  <ds:schemaRefs>
    <ds:schemaRef ds:uri="http://schemas.microsoft.com/sharepoint/v3/contenttype/forms"/>
  </ds:schemaRefs>
</ds:datastoreItem>
</file>

<file path=customXml/itemProps3.xml><?xml version="1.0" encoding="utf-8"?>
<ds:datastoreItem xmlns:ds="http://schemas.openxmlformats.org/officeDocument/2006/customXml" ds:itemID="{0E62BB72-E937-4A9F-8CBA-06CC1E70FA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Hamdija Mujezin</dc:creator>
  <cp:keywords/>
  <dc:description/>
  <cp:lastModifiedBy>Albin Toljevic</cp:lastModifiedBy>
  <cp:revision>4</cp:revision>
  <dcterms:created xsi:type="dcterms:W3CDTF">2022-10-23T19:27:00Z</dcterms:created>
  <dcterms:modified xsi:type="dcterms:W3CDTF">2022-10-24T19:27:00Z</dcterms:modified>
</cp:coreProperties>
</file>